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50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4C637F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化解人防工程长期在建无法验收</w:t>
      </w:r>
    </w:p>
    <w:p w14:paraId="4B0838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历史遗留问题的</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指导意见</w:t>
      </w:r>
    </w:p>
    <w:p w14:paraId="57BEB7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（征求意见稿）</w:t>
      </w:r>
    </w:p>
    <w:p w14:paraId="7E52704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p>
    <w:p w14:paraId="7DF009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6"/>
          <w:szCs w:val="36"/>
          <w:lang w:val="en-US" w:eastAsia="zh-CN"/>
          <w14:textFill>
            <w14:solidFill>
              <w14:schemeClr w14:val="tx1"/>
            </w14:solidFill>
          </w14:textFill>
        </w:rPr>
        <w:t>各市国动办，沈抚示范区人民防空主管部门：</w:t>
      </w:r>
    </w:p>
    <w:p w14:paraId="01FE34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6"/>
          <w:szCs w:val="36"/>
          <w:lang w:val="en-US" w:eastAsia="zh-CN"/>
          <w14:textFill>
            <w14:solidFill>
              <w14:schemeClr w14:val="tx1"/>
            </w14:solidFill>
          </w14:textFill>
        </w:rPr>
        <w:t xml:space="preserve">    为深入贯彻落实党中央、国务院和省委、省政府关于优化营商环境建设工作决策部署，全力推动解决人防工程安全监管的问题隐患，维护人民群众的切身利益和合法权益，有效化解人防工程长期在建无法验收历史遗留问题，结合我省实际，提出如下意见。</w:t>
      </w:r>
    </w:p>
    <w:p w14:paraId="52253A5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一、总体要求</w:t>
      </w:r>
    </w:p>
    <w:p w14:paraId="78EEE55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b w:val="0"/>
          <w:bCs w:val="0"/>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6"/>
          <w:szCs w:val="36"/>
          <w:lang w:val="en-US" w:eastAsia="zh-CN"/>
          <w14:textFill>
            <w14:solidFill>
              <w14:schemeClr w14:val="tx1"/>
            </w14:solidFill>
          </w14:textFill>
        </w:rPr>
        <w:t>以习近平新时代中国特色社会主义思想为指导，坚持以人民为中心的发展思想，深入贯彻树立和践行正确政绩观学习教育要求，尊重历史、实事求是，勇于担当、主动作为，解决群众急难愁盼问题，消除人防工程开发利用安全隐患，依法依规化解人防工程长期在建无法验收问题，保障战备效益、社会效益、经济效益。</w:t>
      </w:r>
    </w:p>
    <w:p w14:paraId="6C0F864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二、化解政策</w:t>
      </w:r>
    </w:p>
    <w:p w14:paraId="5CDA0969">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both"/>
        <w:textAlignment w:val="auto"/>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（一）适用范围</w:t>
      </w:r>
    </w:p>
    <w:p w14:paraId="7A287AB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6"/>
          <w:szCs w:val="36"/>
          <w:lang w:val="en-US" w:eastAsia="zh-CN"/>
          <w14:textFill>
            <w14:solidFill>
              <w14:schemeClr w14:val="tx1"/>
            </w14:solidFill>
          </w14:textFill>
        </w:rPr>
        <w:t>《关于化解人防工程长期在建无法验收历史遗留问题的指导意见》（以下简称《</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指导意见》</w:t>
      </w:r>
      <w:r>
        <w:rPr>
          <w:rFonts w:hint="eastAsia" w:ascii="仿宋_GB2312" w:hAnsi="仿宋_GB2312" w:eastAsia="仿宋_GB2312" w:cs="仿宋_GB2312"/>
          <w:b w:val="0"/>
          <w:bCs w:val="0"/>
          <w:color w:val="000000" w:themeColor="text1"/>
          <w:sz w:val="36"/>
          <w:szCs w:val="36"/>
          <w:lang w:val="en-US" w:eastAsia="zh-CN"/>
          <w14:textFill>
            <w14:solidFill>
              <w14:schemeClr w14:val="tx1"/>
            </w14:solidFill>
          </w14:textFill>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所称存在历史遗留问题的建设项目，是指开工时间超过10年（含10年），仍未建设或未完成人防工程竣工验收的建设项目。存在历史遗留问题的建设项目分为“已批未建”、“建设基本完成”、“停工烂尾”“资料手续缺失”等情况。</w:t>
      </w:r>
    </w:p>
    <w:p w14:paraId="51CF19BE">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both"/>
        <w:textAlignment w:val="auto"/>
        <w:rPr>
          <w:rFonts w:hint="default"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（二）对已批未建的建设项目</w:t>
      </w:r>
    </w:p>
    <w:p w14:paraId="3C3B4D6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已批未建的建设项目是指已经办理完成“应建防空地下室的民用建筑项目报建审批”中“新建民用建筑防空地下室同步建设审批”（以下简称“人防工程建设许可”）手续，地上主体建筑完工并投入使用，地下未按照要求建设人防工程的建设项目或者建设项目整体（地上和地下）均未开工建设的项目。</w:t>
      </w:r>
    </w:p>
    <w:p w14:paraId="5410624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1.地上主体建筑完工并投入使用，地下未按照要求建设人防工程的建设项目，由具有管辖权的人民防空主管部门依法对项目建设单位开展行政执法工作，予以处罚并责令限期补建人防工程或缴纳易地建设费。</w:t>
      </w:r>
    </w:p>
    <w:p w14:paraId="7ABA1F0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建设项目整体均未开工建设的，应由具有管辖权的人民防空主管部门核对土地规划变更情况，确认项目已无法正常建设的，应及时注销（或撤销）人防工程建设许可。建设单位后续如启动建设，应按新的建设项目要求重新申报人防工程建设许可。</w:t>
      </w:r>
    </w:p>
    <w:p w14:paraId="75D28074">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both"/>
        <w:textAlignment w:val="auto"/>
        <w:rPr>
          <w:rFonts w:hint="default"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（三）对建设基本完成的建设项目</w:t>
      </w:r>
    </w:p>
    <w:p w14:paraId="40B8E6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建设基本完成的人防工程建设项目是指已经办理完成人防工程建设许可手续，地上主体建筑完工并投入使用，地下人防工程已建设，尚未通过验收的建设项目。</w:t>
      </w:r>
    </w:p>
    <w:p w14:paraId="219581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1.具备竣工验收条件的建设项目</w:t>
      </w:r>
    </w:p>
    <w:p w14:paraId="439F0E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（1）由建设单位负责完善人防工程，达到人防工程验收使用标准后，在具有管辖权的人防工程质量监督机构监督下，组织召开专家论证会，出具</w:t>
      </w:r>
      <w:r>
        <w:rPr>
          <w:rFonts w:hint="eastAsia" w:ascii="仿宋_GB2312" w:hAnsi="仿宋_GB2312" w:eastAsia="仿宋_GB2312" w:cs="仿宋_GB2312"/>
          <w:color w:val="auto"/>
          <w:sz w:val="36"/>
          <w:szCs w:val="36"/>
          <w:lang w:val="en-US" w:eastAsia="zh-CN"/>
        </w:rPr>
        <w:t>由专家签字</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的论证报告。论证过程中，如人防工程质量监督机构发现存在问题可责令整改。通过专家论证后，由具有管辖权的人民防空主管部门出具《人防工程质量确认函》，建设单位可据此办理人防工程验收备案手续。</w:t>
      </w:r>
    </w:p>
    <w:p w14:paraId="221B28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b w:val="0"/>
          <w:bCs w:val="0"/>
          <w:color w:val="000000" w:themeColor="text1"/>
          <w:sz w:val="36"/>
          <w:szCs w:val="36"/>
          <w:lang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建设单位已注销、失联或者无能力推进人防工程竣工验收的项目，由具有管辖权的人民防空主管部门牵头组织工程属地政府相关部门（国资部门、街道、社区等）和建设单位（如有）、工程实际管理单位召开人防工程解遗工作会议，确定人防工程托管单位代建设单位履行推进人防工程竣工验收的工作职责。托管单位应为独立法人单位。托管单位应与具有管辖权的人民防空主管部门签订《人防工程托管使用协议》，可在协议条款内享有人防工程使用权和收益权，承担人防工程的维护、消防、防汛、治安等工作和使用中的经济、法律责任，并应接受人民防空主管部门的监督检查。</w:t>
      </w:r>
    </w:p>
    <w:p w14:paraId="49FD0E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无托管单位接管人防工程的，由具有管辖权的人防工程质量监督机构向建设单位下达《中止人防工程质量监督通知书》，无法送达的可以公告送达。人防工程的建设单位或使用管理单位应对人防工程口部进行封堵，平时禁止人员进入。人防主管部门应定期检查工程情况，确保工程处于封堵状态。后期具备验收条件的，可向具有管辖权的人防工程质量监督机构申请恢复人防工程质量监督。</w:t>
      </w:r>
    </w:p>
    <w:p w14:paraId="6AA114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2.不具备竣工验收条件的建设项目</w:t>
      </w:r>
    </w:p>
    <w:p w14:paraId="64175B8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建设单位处于存续状态的，由具有管辖权的人民防空主管部门向建设单位下达责令整改通知书，责令建设单位限期完善人防工程，并组织完成竣工验收。建设单位在期限内未能完成整改的，由具有管辖权的人民防空质量监督机构向建设单位下达《终止人防工程质量监督通知书》，并出具《终止人防工程质量监督报告书》。具有管辖权的人民防空主管部门根据质量监督报告书的内容，依法对项目建设单位开展行政执法工作，予以处罚并责令建设单位限期补建人防工程或者以缴纳易地建设费的形式作出赔偿。作出处罚后，该工程退出人防工程管理序列，变为普通地下空间，报市级人民防空主管部门备案。</w:t>
      </w:r>
    </w:p>
    <w:p w14:paraId="17471A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建设单位已注销的，由具有管辖权的人民防空质量监督机构以公告送达方式下达《终止人防工程质量监督通知书》，并出具《终止人防工程质量监督报告书》。该工程退出人防工程管理序列，变为普通地下空间。</w:t>
      </w:r>
    </w:p>
    <w:p w14:paraId="0319B21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（3）人防工程退出人防工程管理序列，变为普通地下空间后，市级人民防空主管部门应向工程属地政府，告知该项目不再作为人防工程管理，提醒属地政府按照普通地下空间履行相应行业监管责任。</w:t>
      </w:r>
    </w:p>
    <w:p w14:paraId="7F7B47E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3.对于人防工程已擅自投入使用的建设项目</w:t>
      </w:r>
    </w:p>
    <w:p w14:paraId="6753EBA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具有管辖权的人民防空主管部门应依法对建设单位开展行政执法工作，予以处罚并责令建设单位限期整改，责令其停止使用。具备竣工验收条件的，由建设单位或托管单位完成验收工作并办理相关手续后，继续使用。不具备竣工验收条件的，按要求退出人防工程管理序列，变为普通地下空间，交由属地政府处置。</w:t>
      </w:r>
    </w:p>
    <w:p w14:paraId="14CD2626">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both"/>
        <w:textAlignment w:val="auto"/>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（四）对停工烂尾的建设项目</w:t>
      </w:r>
    </w:p>
    <w:p w14:paraId="001F30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停工烂尾的建设项目是指地上建筑和地下人防工程均停工或地上建设停工且地下人防工程尚未建设的建设项目。</w:t>
      </w:r>
    </w:p>
    <w:p w14:paraId="24839C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1.停工烂尾的建设项目由具有管辖权的人民防空质量监督机构向建设单位下达《中止人防工程质量监督通知书》，无法送达的可以公告送达。</w:t>
      </w:r>
    </w:p>
    <w:p w14:paraId="49AF74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2.停工烂尾的建设项目需要复工的，应由建设单位向具有管辖权的人民防空质量监督机构申请恢复人防工程质量监督。</w:t>
      </w:r>
    </w:p>
    <w:p w14:paraId="261FC446">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both"/>
        <w:textAlignment w:val="auto"/>
        <w:rPr>
          <w:rFonts w:hint="default"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（五）对资料手续缺失的人防工程建设项目</w:t>
      </w:r>
    </w:p>
    <w:p w14:paraId="03909B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资料手续缺失的人防工程建设项目是指未经人民防空主管部门审批、未取得人民防空质量监督机构报监手续或监督过程资料，设计、施工、监理单位责任主体缺失无法提供验收资料等人防工程竣工验收缺少资料手续的建设项目。</w:t>
      </w:r>
    </w:p>
    <w:p w14:paraId="6A0EFB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1.未办理人防工程建设许可手续先行开工建设的项目，由具有管辖权的人民防空主管部门依法对项目建设单位开展行政执法工作，人民防空主管部门依照处罚决定补办相关手续。</w:t>
      </w:r>
    </w:p>
    <w:p w14:paraId="1A4BDD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人防工程主体施工期间，建设单位未按规定向具有管辖权的人民防空质量监督机构申请办理报监手续或申报现场质量监督的建设项目，该人防工程经具备人防工程相关鉴定检测资格的第三方机构鉴定，满足人防工程防护标准和质量标准的，出具检测报告。经人防工程质量监督机构复核后，由具有管辖权的人民防空主管部门出具《人防工程质量确认函》。建设单位据此办理人防工程竣工验收备案手续。</w:t>
      </w:r>
    </w:p>
    <w:p w14:paraId="4FB99D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3.施工单位、设计单位、监理单位注销或者失联，无法正常履行人防工程竣工验收责任的项目，在具有管辖权的人防工程质量监督机构监督下，由人防工程建设单位组织召开专家论证会，出具的论证报告。论证过程中，如人防工程质量监督机构发现存在问题可责令整改。通过专家论证后，由具有管辖权的人民防空主管部门出具《人防工程质量确认函》，建设单位或托管单位可据此办理人防工程验收备案手续。</w:t>
      </w:r>
    </w:p>
    <w:p w14:paraId="0A1C582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三、工作要求</w:t>
      </w:r>
    </w:p>
    <w:p w14:paraId="745D562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color w:val="FF0000"/>
          <w:sz w:val="36"/>
          <w:szCs w:val="36"/>
          <w:lang w:val="en-US" w:eastAsia="zh-CN"/>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一）化解人防工程长期在建无法验收历史遗留问题相关工作由沈阳市、大连市、抚顺市国防动员办公室在本行政区域内分类先行开展6个月试点工作，省国防动员办公室负责统筹协调、监督指导和成效评估。试点期满后</w:t>
      </w:r>
      <w:r>
        <w:rPr>
          <w:rFonts w:hint="eastAsia" w:ascii="黑体" w:hAnsi="黑体" w:eastAsia="黑体" w:cs="黑体"/>
          <w:color w:val="FF0000"/>
          <w:sz w:val="36"/>
          <w:szCs w:val="36"/>
          <w:lang w:val="en-US" w:eastAsia="zh-CN"/>
        </w:rPr>
        <w:t>，</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试点城市形成可复制、可推广的经验做法，并报省国防动员办公室备案，省国防动员办公室择优将经验做法向全省推广实施。</w:t>
      </w:r>
    </w:p>
    <w:p w14:paraId="58A583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二）各市应按照指导意见的范围和分类，立即启动解决历史遗留问题调查工作，对本行政区域内的问题项目进行全面梳理，建立化解台账，按照一事一策的原则预先研究制定化解措施和工作时限，明确工作责任部门和责任人，指导所辖具有管辖权的县（市）区人民防空主管部门提前做好相关准备工作。</w:t>
      </w:r>
    </w:p>
    <w:p w14:paraId="41183F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（三）特殊情况下，开工时间在2020年1月1日以前，不足10年的项目，一事一议后可参照本指导意见执行。</w:t>
      </w:r>
    </w:p>
    <w:p w14:paraId="2A02C6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（四）本指导意见自发布之日起施行。</w:t>
      </w:r>
    </w:p>
    <w:p w14:paraId="342803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p>
    <w:p w14:paraId="57559C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p>
    <w:p w14:paraId="4F96E7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p>
    <w:p w14:paraId="52CAA4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right"/>
        <w:textAlignment w:val="auto"/>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辽宁省国防动员办公室</w:t>
      </w:r>
    </w:p>
    <w:p w14:paraId="1EC7AF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right"/>
        <w:textAlignment w:val="auto"/>
        <w:rPr>
          <w:rFonts w:hint="default"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2026年7月2</w:t>
      </w:r>
      <w:bookmarkStart w:id="0" w:name="_GoBack"/>
      <w:bookmarkEnd w:id="0"/>
      <w:r>
        <w:rPr>
          <w:rFonts w:hint="eastAsia" w:ascii="仿宋_GB2312" w:hAnsi="仿宋_GB2312" w:eastAsia="仿宋_GB2312" w:cs="仿宋_GB2312"/>
          <w:color w:val="000000" w:themeColor="text1"/>
          <w:sz w:val="36"/>
          <w:szCs w:val="36"/>
          <w:lang w:val="en-US" w:eastAsia="zh-CN"/>
          <w14:textFill>
            <w14:solidFill>
              <w14:schemeClr w14:val="tx1"/>
            </w14:solidFill>
          </w14:textFill>
        </w:rPr>
        <w:t>日</w:t>
      </w:r>
    </w:p>
    <w:p w14:paraId="5E69191E">
      <w:pPr>
        <w:keepNext w:val="0"/>
        <w:keepLines w:val="0"/>
        <w:pageBreakBefore w:val="0"/>
        <w:widowControl w:val="0"/>
        <w:kinsoku/>
        <w:wordWrap/>
        <w:overflowPunct/>
        <w:topLinePunct w:val="0"/>
        <w:autoSpaceDE/>
        <w:autoSpaceDN/>
        <w:bidi w:val="0"/>
        <w:adjustRightInd/>
        <w:snapToGrid/>
        <w:spacing w:line="600" w:lineRule="exact"/>
        <w:textAlignment w:val="auto"/>
        <w:rPr>
          <w:color w:val="FF0000"/>
          <w:sz w:val="36"/>
          <w:szCs w:val="36"/>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56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CC19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CC19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13C75"/>
    <w:rsid w:val="0B8C3FEE"/>
    <w:rsid w:val="0CE02C33"/>
    <w:rsid w:val="0E7721FE"/>
    <w:rsid w:val="0FEE7765"/>
    <w:rsid w:val="150A07D6"/>
    <w:rsid w:val="1884751A"/>
    <w:rsid w:val="209239FD"/>
    <w:rsid w:val="2682202D"/>
    <w:rsid w:val="28AA0CC0"/>
    <w:rsid w:val="29DF6412"/>
    <w:rsid w:val="2E760D30"/>
    <w:rsid w:val="314636BD"/>
    <w:rsid w:val="3530288A"/>
    <w:rsid w:val="35F2561F"/>
    <w:rsid w:val="3D0546AF"/>
    <w:rsid w:val="3F9A0624"/>
    <w:rsid w:val="3FB760BD"/>
    <w:rsid w:val="424D14CC"/>
    <w:rsid w:val="432B3B11"/>
    <w:rsid w:val="46413C75"/>
    <w:rsid w:val="46EA51DB"/>
    <w:rsid w:val="47B4157F"/>
    <w:rsid w:val="489253D0"/>
    <w:rsid w:val="4FF94CAF"/>
    <w:rsid w:val="50886F46"/>
    <w:rsid w:val="52E0400C"/>
    <w:rsid w:val="594B184B"/>
    <w:rsid w:val="5C6625B0"/>
    <w:rsid w:val="60564992"/>
    <w:rsid w:val="60B9782E"/>
    <w:rsid w:val="630A55E4"/>
    <w:rsid w:val="64AC0F4F"/>
    <w:rsid w:val="65015C46"/>
    <w:rsid w:val="67BA097C"/>
    <w:rsid w:val="771E37EC"/>
    <w:rsid w:val="772C15D5"/>
    <w:rsid w:val="77740C4B"/>
    <w:rsid w:val="7A150154"/>
    <w:rsid w:val="7DE57C7B"/>
    <w:rsid w:val="7F6310E9"/>
    <w:rsid w:val="FBFF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3238</Words>
  <Characters>3258</Characters>
  <Lines>0</Lines>
  <Paragraphs>0</Paragraphs>
  <TotalTime>1</TotalTime>
  <ScaleCrop>false</ScaleCrop>
  <LinksUpToDate>false</LinksUpToDate>
  <CharactersWithSpaces>3262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2026-03-31T10:25:00Z</dcterms:created>
  <dc:creator>无欲则刚</dc:creator>
  <cp:lastModifiedBy>thtf</cp:lastModifiedBy>
  <cp:lastPrinted>2026-06-26T09:02:00Z</cp:lastPrinted>
  <dcterms:modified xsi:type="dcterms:W3CDTF">2026-07-02T12:48:56Z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2E633F1638984B5FBF4E882F1CDBA3C9_13</vt:lpwstr>
  </property>
  <property fmtid="{D5CDD505-2E9C-101B-9397-08002B2CF9AE}" pid="4" name="KSOTemplateDocerSaveRecord">
    <vt:lpwstr>eyJoZGlkIjoiNjAzM2YxMTEwYWIzNGMzZWMzYmRkYTMxMzQ0ZmQyM2QiLCJ1c2VySWQiOiIzNDY5NDQ2OTAifQ==</vt:lpwstr>
  </property>
</Properties>
</file>