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42" w:rsidRPr="00B10DD4" w:rsidRDefault="002B3A42" w:rsidP="002B3A42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B10DD4">
        <w:rPr>
          <w:rFonts w:ascii="方正小标宋简体" w:eastAsia="方正小标宋简体" w:hAnsi="华文中宋" w:hint="eastAsia"/>
          <w:sz w:val="44"/>
          <w:szCs w:val="44"/>
        </w:rPr>
        <w:t>大连市人防审批制度改革试点实施方案</w:t>
      </w:r>
    </w:p>
    <w:p w:rsidR="002B3A42" w:rsidRDefault="002B3A42" w:rsidP="00116FE7">
      <w:pPr>
        <w:spacing w:beforeLines="100" w:afterLines="100" w:line="600" w:lineRule="exact"/>
        <w:jc w:val="center"/>
        <w:rPr>
          <w:rFonts w:ascii="Times New Roman" w:eastAsia="方正小标宋简体" w:hAnsi="Times New Roman"/>
          <w:szCs w:val="32"/>
        </w:rPr>
      </w:pPr>
      <w:r>
        <w:rPr>
          <w:rFonts w:ascii="Times New Roman" w:eastAsia="楷体" w:hAnsi="楷体" w:hint="eastAsia"/>
          <w:szCs w:val="32"/>
        </w:rPr>
        <w:t>（</w:t>
      </w:r>
      <w:r w:rsidR="00D41AC2">
        <w:rPr>
          <w:rFonts w:ascii="Times New Roman" w:eastAsia="楷体" w:hAnsi="Times New Roman" w:hint="eastAsia"/>
          <w:szCs w:val="32"/>
        </w:rPr>
        <w:t>征求意见稿</w:t>
      </w:r>
      <w:r>
        <w:rPr>
          <w:rFonts w:ascii="Times New Roman" w:eastAsia="楷体" w:hAnsi="楷体" w:hint="eastAsia"/>
          <w:szCs w:val="32"/>
        </w:rPr>
        <w:t>）</w:t>
      </w:r>
    </w:p>
    <w:p w:rsidR="002B3A42" w:rsidRDefault="002B3A42" w:rsidP="002B3A4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为贯彻落实党中央、国务院深化“放管服”改革、优化营商环境重大决策部署，根据《国家人防办关于结合民用建筑修建防空地下室计算方法事》（国人防〔2019〕57号）、《辽宁省人防办关于〈大连市人防办关于人防工程建设项目审批制度改革有关问题的请示〉的批复》（辽人防复〔2019〕31号）精神，结合大连市对标上海和深化工程建设项目审批制度改革实际，制定本方案：</w:t>
      </w:r>
    </w:p>
    <w:p w:rsidR="002B3A42" w:rsidRDefault="002B3A42" w:rsidP="002B3A4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一、简化应建人防面积计算方法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 w:cs="Times New Roman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（一）城市新建民用建筑配建人防指标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城市（含县城）规划区内的新建民用建筑，按项目计容面积以下比例，确定应配建6级防空地下室面积指标：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1．中山区、西岗区、沙河口区、甘井子区、高新园区：7%；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2．其他区市县、先导区：6%。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注：①</w:t>
      </w:r>
      <w:r>
        <w:rPr>
          <w:rFonts w:ascii="Times New Roman" w:eastAsia="仿宋" w:hAnsi="仿宋" w:hint="eastAsia"/>
          <w:szCs w:val="32"/>
        </w:rPr>
        <w:t>计容面积以项目《规划条件》为准；②新建民用建筑包括增加面积的改扩建项目；③物流仓储用地建设项目不列入本次改革试点范围。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（二）以下建筑不列入修建防空地下室范围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1．工业用地建设项目；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2．冷链物流仓储设施；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3．地面构筑物和不增加面积的装修改造项目；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4．单独修建的公共厕所、垃圾站（房）、水泵房、锅炉房、消防站、变配电房（站）、区域机房等公共公益类建筑。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注：①试点期间遇有其他特殊建筑，经市级人防部门会同相关部门认定、公示并报省级人防部门备案同意后，也可列入不修建防空地下室范围；②</w:t>
      </w:r>
      <w:r>
        <w:rPr>
          <w:rFonts w:ascii="Times New Roman" w:eastAsia="仿宋" w:hAnsi="仿宋" w:hint="eastAsia"/>
          <w:szCs w:val="32"/>
        </w:rPr>
        <w:t>水厂、电厂、油厂等重要经济目标单位，应按规定落实重要经济目标防护要求，鼓励其将关键部位和重点生产车间建在地下。</w:t>
      </w:r>
    </w:p>
    <w:p w:rsidR="002B3A42" w:rsidRDefault="002B3A42" w:rsidP="002B3A42">
      <w:pPr>
        <w:spacing w:line="600" w:lineRule="exact"/>
        <w:ind w:firstLine="646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二、提高社会修建骨干类防护工程积极性</w:t>
      </w:r>
    </w:p>
    <w:p w:rsidR="002B3A42" w:rsidRDefault="002B3A42" w:rsidP="002B3A42">
      <w:pPr>
        <w:spacing w:line="600" w:lineRule="exact"/>
        <w:ind w:firstLine="645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加快提升城市综合防护能力，对落实骨干类防护工程建设和“互联互通”要求的，给予以下政策性补偿：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．</w:t>
      </w:r>
      <w:r>
        <w:rPr>
          <w:rFonts w:ascii="仿宋" w:eastAsia="仿宋" w:hAnsi="仿宋" w:cs="仿宋_GB2312" w:hint="eastAsia"/>
          <w:szCs w:val="32"/>
        </w:rPr>
        <w:t>修建5级医疗救护工程（中心医院和急救医院）：按应配建6级防空地下室所对应面积指标60%折算。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．</w:t>
      </w:r>
      <w:r>
        <w:rPr>
          <w:rFonts w:ascii="仿宋" w:eastAsia="仿宋" w:hAnsi="仿宋" w:cs="仿宋_GB2312" w:hint="eastAsia"/>
          <w:szCs w:val="32"/>
        </w:rPr>
        <w:t>修建5级防空专业队工程和一等人员掩蔽工程：按应配建6级防空地下室所对应面积指标70%折算。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3</w:t>
      </w:r>
      <w:r>
        <w:rPr>
          <w:rFonts w:ascii="仿宋" w:eastAsia="仿宋" w:hAnsi="仿宋" w:hint="eastAsia"/>
          <w:szCs w:val="32"/>
        </w:rPr>
        <w:t>．</w:t>
      </w:r>
      <w:r>
        <w:rPr>
          <w:rFonts w:ascii="仿宋" w:eastAsia="仿宋" w:hAnsi="仿宋" w:cs="仿宋_GB2312" w:hint="eastAsia"/>
          <w:szCs w:val="32"/>
        </w:rPr>
        <w:t>修建6级医疗救护工程（救护站）：按应配建6级防空地下室所对应面积指标80%折算。</w:t>
      </w:r>
    </w:p>
    <w:p w:rsidR="002B3A42" w:rsidRDefault="002B3A42" w:rsidP="002B3A42">
      <w:pPr>
        <w:spacing w:line="600" w:lineRule="exact"/>
        <w:ind w:firstLine="645"/>
        <w:rPr>
          <w:rFonts w:ascii="仿宋" w:eastAsia="仿宋" w:hAnsi="仿宋" w:cs="仿宋_GB2312"/>
          <w:bCs/>
          <w:szCs w:val="32"/>
        </w:rPr>
      </w:pPr>
      <w:r>
        <w:rPr>
          <w:rFonts w:ascii="仿宋" w:eastAsia="仿宋" w:hAnsi="仿宋" w:cs="仿宋_GB2312" w:hint="eastAsia"/>
          <w:bCs/>
          <w:szCs w:val="32"/>
        </w:rPr>
        <w:t>4</w:t>
      </w:r>
      <w:r>
        <w:rPr>
          <w:rFonts w:ascii="仿宋" w:eastAsia="仿宋" w:hAnsi="仿宋" w:hint="eastAsia"/>
          <w:szCs w:val="32"/>
        </w:rPr>
        <w:t>．</w:t>
      </w:r>
      <w:r>
        <w:rPr>
          <w:rFonts w:ascii="仿宋" w:eastAsia="仿宋" w:hAnsi="仿宋" w:cs="仿宋_GB2312" w:hint="eastAsia"/>
          <w:szCs w:val="32"/>
        </w:rPr>
        <w:t>鼓励</w:t>
      </w:r>
      <w:r>
        <w:rPr>
          <w:rFonts w:ascii="仿宋" w:eastAsia="仿宋" w:hAnsi="仿宋" w:cs="仿宋_GB2312" w:hint="eastAsia"/>
          <w:bCs/>
          <w:szCs w:val="32"/>
        </w:rPr>
        <w:t>大型项目按照“种类齐全、功能配套、布局合理、互联互通”要求，统筹谋划区域人民防空综合防护工程体系建设。对于落实“互联互通”要求且连通通道按防护标准设计建设的，按通道面积2倍计入防空地下室面积。</w:t>
      </w:r>
    </w:p>
    <w:p w:rsidR="002B3A42" w:rsidRDefault="002B3A42" w:rsidP="002B3A42">
      <w:pPr>
        <w:spacing w:line="600" w:lineRule="exact"/>
        <w:ind w:firstLine="645"/>
        <w:rPr>
          <w:rFonts w:ascii="仿宋" w:eastAsia="仿宋" w:hAnsi="仿宋" w:cs="仿宋_GB2312"/>
          <w:bCs/>
          <w:szCs w:val="32"/>
        </w:rPr>
      </w:pPr>
      <w:r>
        <w:rPr>
          <w:rFonts w:ascii="仿宋" w:eastAsia="仿宋" w:hAnsi="仿宋" w:hint="eastAsia"/>
          <w:szCs w:val="32"/>
        </w:rPr>
        <w:t>注：按上述1～3项指标折算后，建设骨干类防护工程时，</w:t>
      </w:r>
      <w:r>
        <w:rPr>
          <w:rFonts w:ascii="仿宋" w:eastAsia="仿宋" w:hAnsi="仿宋" w:hint="eastAsia"/>
          <w:szCs w:val="32"/>
        </w:rPr>
        <w:lastRenderedPageBreak/>
        <w:t>需符合相关规范规定的规模要求。</w:t>
      </w:r>
    </w:p>
    <w:p w:rsidR="002B3A42" w:rsidRDefault="002B3A42" w:rsidP="002B3A42">
      <w:pPr>
        <w:spacing w:line="600" w:lineRule="exact"/>
        <w:ind w:firstLine="645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三、坚持以人掩为主、配套为辅的建设思路</w:t>
      </w:r>
    </w:p>
    <w:p w:rsidR="002B3A42" w:rsidRDefault="002B3A42" w:rsidP="002B3A42">
      <w:pPr>
        <w:spacing w:line="600" w:lineRule="exact"/>
        <w:ind w:firstLine="645"/>
        <w:rPr>
          <w:rFonts w:ascii="仿宋" w:eastAsia="仿宋" w:hAnsi="仿宋" w:cs="Times New Roman"/>
          <w:szCs w:val="32"/>
        </w:rPr>
      </w:pPr>
      <w:r>
        <w:rPr>
          <w:rFonts w:ascii="仿宋" w:eastAsia="仿宋" w:hAnsi="仿宋" w:hint="eastAsia"/>
          <w:szCs w:val="32"/>
        </w:rPr>
        <w:t>坚持以人员掩蔽工程建设为主，在满足人员掩蔽需求的基础上，按以下要求适度配建一定比例配套工程：</w:t>
      </w:r>
    </w:p>
    <w:p w:rsidR="002B3A42" w:rsidRDefault="002B3A42" w:rsidP="002B3A42">
      <w:pPr>
        <w:spacing w:line="60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1．应配建防空地下室面积小于8000平方米（含）的项目，坚持以修建人员掩蔽工程为主，原则上不安排人防物资库建设；</w:t>
      </w:r>
    </w:p>
    <w:p w:rsidR="002B3A42" w:rsidRDefault="002B3A42" w:rsidP="002B3A42">
      <w:pPr>
        <w:spacing w:line="60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2．应配建防空地下室面积大于8000平方米的项目，在满足人员掩蔽需求（人均掩蔽面积1平方米）前提下，按不超过应配建防空地下室面积25%（含）配建人防物资库；</w:t>
      </w:r>
    </w:p>
    <w:p w:rsidR="002B3A42" w:rsidRDefault="002B3A42" w:rsidP="002B3A42">
      <w:pPr>
        <w:spacing w:line="60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3．</w:t>
      </w:r>
      <w:r>
        <w:rPr>
          <w:rFonts w:ascii="仿宋" w:eastAsia="仿宋" w:hAnsi="仿宋" w:cs="仿宋_GB2312" w:hint="eastAsia"/>
          <w:bCs/>
          <w:szCs w:val="32"/>
        </w:rPr>
        <w:t>对于</w:t>
      </w:r>
      <w:r>
        <w:rPr>
          <w:rFonts w:ascii="仿宋" w:eastAsia="仿宋" w:hAnsi="仿宋" w:hint="eastAsia"/>
          <w:szCs w:val="32"/>
        </w:rPr>
        <w:t>落实修建5级骨干类防护工程建设要求的项目，配建人防物资库指标可提高到30%（含）以内。</w:t>
      </w:r>
    </w:p>
    <w:p w:rsidR="002B3A42" w:rsidRDefault="002B3A42" w:rsidP="002B3A42">
      <w:pPr>
        <w:spacing w:line="600" w:lineRule="exact"/>
        <w:ind w:firstLine="645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四、进一步完善易地建设费审批政策</w:t>
      </w:r>
    </w:p>
    <w:p w:rsidR="002B3A42" w:rsidRDefault="002B3A42" w:rsidP="002B3A42">
      <w:pPr>
        <w:spacing w:line="600" w:lineRule="exact"/>
        <w:ind w:firstLine="645"/>
        <w:rPr>
          <w:rFonts w:ascii="仿宋" w:eastAsia="仿宋" w:hAnsi="仿宋" w:cs="Times New Roman"/>
          <w:szCs w:val="32"/>
        </w:rPr>
      </w:pPr>
      <w:r>
        <w:rPr>
          <w:rFonts w:ascii="仿宋" w:eastAsia="仿宋" w:hAnsi="仿宋" w:hint="eastAsia"/>
          <w:szCs w:val="32"/>
        </w:rPr>
        <w:t>1．应建人防面积小于1000平方米（含）时，原则上收缴易地建设费。其中，小于500平方米（含）的，直接收费；大于500平方米的，鼓励建设防空地下室，如收费需建设单位提出申请。</w:t>
      </w:r>
    </w:p>
    <w:p w:rsidR="002B3A42" w:rsidRDefault="002B3A42" w:rsidP="002B3A42">
      <w:pPr>
        <w:spacing w:line="60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2．带方案出让的建设用地项目，如不具备修建甲类防空地下室条件或仅能部分落实人防建设要求时，可按应建人防面积或差额人防面积收缴易地建设费。</w:t>
      </w:r>
    </w:p>
    <w:p w:rsidR="002B3A42" w:rsidRDefault="002B3A42" w:rsidP="002B3A42">
      <w:pPr>
        <w:spacing w:line="60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cs="仿宋_GB2312" w:hint="eastAsia"/>
          <w:szCs w:val="32"/>
        </w:rPr>
        <w:t>3</w:t>
      </w:r>
      <w:r>
        <w:rPr>
          <w:rFonts w:ascii="仿宋" w:eastAsia="仿宋" w:hAnsi="仿宋" w:hint="eastAsia"/>
          <w:szCs w:val="32"/>
        </w:rPr>
        <w:t>．其他因地质条件限制，符合国家和省关于缴纳易地建设费相关规定的，按国家和省相关规定收缴易地建设费。</w:t>
      </w:r>
    </w:p>
    <w:p w:rsidR="002B3A42" w:rsidRDefault="002B3A42" w:rsidP="002B3A42">
      <w:pPr>
        <w:spacing w:line="60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注：符合上述规定且属于政策性减免范围的缴费项目，享受国家和省减免易地建设费的相关优惠政策。</w:t>
      </w:r>
    </w:p>
    <w:p w:rsidR="002B3A42" w:rsidRDefault="002B3A42" w:rsidP="002B3A42">
      <w:pPr>
        <w:spacing w:line="600" w:lineRule="exact"/>
        <w:ind w:firstLine="645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五、进一步深化建设项目联合审批机制</w:t>
      </w:r>
    </w:p>
    <w:p w:rsidR="002B3A42" w:rsidRDefault="002B3A42" w:rsidP="002B3A42">
      <w:pPr>
        <w:spacing w:line="60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cs="仿宋_GB2312" w:hint="eastAsia"/>
          <w:bCs/>
          <w:szCs w:val="32"/>
        </w:rPr>
        <w:t>1</w:t>
      </w:r>
      <w:r>
        <w:rPr>
          <w:rFonts w:ascii="仿宋" w:eastAsia="仿宋" w:hAnsi="仿宋" w:hint="eastAsia"/>
          <w:szCs w:val="32"/>
        </w:rPr>
        <w:t>．政府投资项目可研阶段：负责政府投资项目建设任务的有关单位，应在可研立项阶段咨询人防部门意见，依法依规落实人防建设资金保障，并由发展改革部门在立项批复中予以明确。</w:t>
      </w:r>
    </w:p>
    <w:p w:rsidR="002B3A42" w:rsidRDefault="002B3A42" w:rsidP="002B3A42">
      <w:pPr>
        <w:spacing w:line="600" w:lineRule="exact"/>
        <w:ind w:firstLine="645"/>
        <w:rPr>
          <w:rFonts w:ascii="仿宋" w:eastAsia="仿宋" w:hAnsi="仿宋" w:cs="仿宋_GB2312"/>
          <w:bCs/>
          <w:szCs w:val="32"/>
        </w:rPr>
      </w:pPr>
      <w:r>
        <w:rPr>
          <w:rFonts w:ascii="仿宋" w:eastAsia="仿宋" w:hAnsi="仿宋" w:hint="eastAsia"/>
          <w:szCs w:val="32"/>
        </w:rPr>
        <w:t>2．建设项目策划生成阶段：人防部门通过“多规合一”平台（或以书面形式）向市建设用地收储规划交易委员会办公室提出人防配建要求，由市建设用地收储规划交易委员会办公室在《规划条件》（或招拍挂文件）中予以明确</w:t>
      </w:r>
      <w:r>
        <w:rPr>
          <w:rFonts w:ascii="仿宋" w:eastAsia="仿宋" w:hAnsi="仿宋" w:cs="仿宋_GB2312" w:hint="eastAsia"/>
          <w:bCs/>
          <w:szCs w:val="32"/>
        </w:rPr>
        <w:t>。</w:t>
      </w:r>
    </w:p>
    <w:p w:rsidR="002B3A42" w:rsidRDefault="002B3A42" w:rsidP="002B3A42">
      <w:pPr>
        <w:spacing w:line="600" w:lineRule="exact"/>
        <w:ind w:firstLine="646"/>
        <w:rPr>
          <w:rFonts w:ascii="仿宋" w:eastAsia="仿宋" w:hAnsi="仿宋" w:cs="Times New Roman"/>
          <w:szCs w:val="32"/>
        </w:rPr>
      </w:pPr>
      <w:r>
        <w:rPr>
          <w:rFonts w:ascii="仿宋" w:eastAsia="仿宋" w:hAnsi="仿宋" w:hint="eastAsia"/>
          <w:szCs w:val="32"/>
        </w:rPr>
        <w:t>3．工程建设规划许可阶段：人防部门参与项目</w:t>
      </w:r>
      <w:r>
        <w:rPr>
          <w:rFonts w:ascii="仿宋" w:eastAsia="仿宋" w:hAnsi="仿宋" w:cs="仿宋_GB2312" w:hint="eastAsia"/>
          <w:bCs/>
          <w:szCs w:val="32"/>
        </w:rPr>
        <w:t>设计方案联合审查时，对配建防空地下室的建筑规模、战时用途、抗力级别和防化等级予以确认。经审查符合缴纳易地建设费的项目，应当在办理建设工程规划许可证前，先行缴纳易地建设费。</w:t>
      </w:r>
    </w:p>
    <w:p w:rsidR="002B3A42" w:rsidRDefault="002B3A42" w:rsidP="002B3A42">
      <w:pPr>
        <w:spacing w:line="600" w:lineRule="exact"/>
        <w:ind w:firstLine="645"/>
        <w:rPr>
          <w:rFonts w:ascii="仿宋" w:eastAsia="仿宋" w:hAnsi="仿宋"/>
          <w:szCs w:val="32"/>
        </w:rPr>
      </w:pPr>
    </w:p>
    <w:p w:rsidR="007A6FAA" w:rsidRPr="002B3A42" w:rsidRDefault="007A6FAA">
      <w:pPr>
        <w:rPr>
          <w:sz w:val="44"/>
          <w:szCs w:val="44"/>
        </w:rPr>
      </w:pPr>
    </w:p>
    <w:sectPr w:rsidR="007A6FAA" w:rsidRPr="002B3A42" w:rsidSect="005F6766">
      <w:pgSz w:w="11906" w:h="16838" w:code="9"/>
      <w:pgMar w:top="1588" w:right="1418" w:bottom="1588" w:left="1418" w:header="851" w:footer="992" w:gutter="0"/>
      <w:cols w:space="425"/>
      <w:docGrid w:type="linesAndChars" w:linePitch="6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98C" w:rsidRDefault="0090298C" w:rsidP="007A6FAA">
      <w:r>
        <w:separator/>
      </w:r>
    </w:p>
  </w:endnote>
  <w:endnote w:type="continuationSeparator" w:id="1">
    <w:p w:rsidR="0090298C" w:rsidRDefault="0090298C" w:rsidP="007A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98C" w:rsidRDefault="0090298C" w:rsidP="007A6FAA">
      <w:r>
        <w:separator/>
      </w:r>
    </w:p>
  </w:footnote>
  <w:footnote w:type="continuationSeparator" w:id="1">
    <w:p w:rsidR="0090298C" w:rsidRDefault="0090298C" w:rsidP="007A6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621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FAA"/>
    <w:rsid w:val="00060E3D"/>
    <w:rsid w:val="000D16B3"/>
    <w:rsid w:val="00116FE7"/>
    <w:rsid w:val="00121664"/>
    <w:rsid w:val="002508D4"/>
    <w:rsid w:val="002B3A42"/>
    <w:rsid w:val="00324311"/>
    <w:rsid w:val="003B4B81"/>
    <w:rsid w:val="003F2389"/>
    <w:rsid w:val="004B63B0"/>
    <w:rsid w:val="00554487"/>
    <w:rsid w:val="005714D5"/>
    <w:rsid w:val="005E2B4B"/>
    <w:rsid w:val="005F472A"/>
    <w:rsid w:val="005F6766"/>
    <w:rsid w:val="00695720"/>
    <w:rsid w:val="00695942"/>
    <w:rsid w:val="006B0D5D"/>
    <w:rsid w:val="007A6FAA"/>
    <w:rsid w:val="0083679D"/>
    <w:rsid w:val="00841C9D"/>
    <w:rsid w:val="00882E02"/>
    <w:rsid w:val="008C6413"/>
    <w:rsid w:val="0090298C"/>
    <w:rsid w:val="009101A4"/>
    <w:rsid w:val="00A85C61"/>
    <w:rsid w:val="00B048A0"/>
    <w:rsid w:val="00B10DD4"/>
    <w:rsid w:val="00B1169F"/>
    <w:rsid w:val="00B32351"/>
    <w:rsid w:val="00B60B0A"/>
    <w:rsid w:val="00BF4923"/>
    <w:rsid w:val="00C45789"/>
    <w:rsid w:val="00C9204D"/>
    <w:rsid w:val="00CE70CD"/>
    <w:rsid w:val="00D41AC2"/>
    <w:rsid w:val="00D61AAE"/>
    <w:rsid w:val="00D64EE4"/>
    <w:rsid w:val="00DD3153"/>
    <w:rsid w:val="00DE75DC"/>
    <w:rsid w:val="00E22E02"/>
    <w:rsid w:val="00E24E6E"/>
    <w:rsid w:val="00EE7390"/>
    <w:rsid w:val="00F5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66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6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F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F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lenovo-001</dc:creator>
  <cp:keywords/>
  <dc:description/>
  <cp:lastModifiedBy>lenovo</cp:lastModifiedBy>
  <cp:revision>25</cp:revision>
  <dcterms:created xsi:type="dcterms:W3CDTF">2020-05-07T05:24:00Z</dcterms:created>
  <dcterms:modified xsi:type="dcterms:W3CDTF">2020-05-08T03:21:00Z</dcterms:modified>
</cp:coreProperties>
</file>